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DE39" w14:textId="77777777" w:rsidR="00FA377C" w:rsidRPr="00FA377C" w:rsidRDefault="00FA377C" w:rsidP="00FA377C">
      <w:pPr>
        <w:rPr>
          <w:rFonts w:ascii="Calibri" w:hAnsi="Calibri" w:cs="Calibri"/>
          <w:b/>
          <w:bCs/>
          <w:sz w:val="32"/>
          <w:szCs w:val="32"/>
        </w:rPr>
      </w:pPr>
      <w:r w:rsidRPr="00FA377C">
        <w:rPr>
          <w:rFonts w:ascii="Calibri" w:hAnsi="Calibri" w:cs="Calibri"/>
          <w:b/>
          <w:bCs/>
          <w:sz w:val="32"/>
          <w:szCs w:val="32"/>
        </w:rPr>
        <w:t>LA MOBILITAZIONE</w:t>
      </w:r>
    </w:p>
    <w:p w14:paraId="0532D606" w14:textId="77777777" w:rsidR="00FA377C" w:rsidRPr="00FA377C" w:rsidRDefault="00FA377C" w:rsidP="00FA377C">
      <w:pPr>
        <w:rPr>
          <w:rFonts w:ascii="Calibri" w:hAnsi="Calibri" w:cs="Calibri"/>
          <w:b/>
          <w:bCs/>
          <w:sz w:val="32"/>
          <w:szCs w:val="32"/>
        </w:rPr>
      </w:pPr>
      <w:r w:rsidRPr="00FA377C">
        <w:rPr>
          <w:rFonts w:ascii="Calibri" w:hAnsi="Calibri" w:cs="Calibri"/>
          <w:b/>
          <w:bCs/>
          <w:sz w:val="32"/>
          <w:szCs w:val="32"/>
        </w:rPr>
        <w:t>Il 23 aprile manifestazione nazionale Uil Scuola Rua: “Scegliamo il futuro”</w:t>
      </w:r>
    </w:p>
    <w:p w14:paraId="0A496931" w14:textId="77777777" w:rsidR="00FA377C" w:rsidRPr="00FA377C" w:rsidRDefault="00FA377C" w:rsidP="00FA377C">
      <w:pPr>
        <w:rPr>
          <w:rFonts w:ascii="Calibri" w:hAnsi="Calibri" w:cs="Calibri"/>
          <w:i/>
          <w:iCs/>
          <w:sz w:val="28"/>
          <w:szCs w:val="28"/>
        </w:rPr>
      </w:pPr>
      <w:r w:rsidRPr="00FA377C">
        <w:rPr>
          <w:rFonts w:ascii="Calibri" w:hAnsi="Calibri" w:cs="Calibri"/>
          <w:i/>
          <w:iCs/>
          <w:sz w:val="28"/>
          <w:szCs w:val="28"/>
        </w:rPr>
        <w:t xml:space="preserve">D’Aprile: “Un progetto con le carte in regola è possibile ma è necessaria la volontà politica. Ci mobilitiamo per il futuro del personale della scuola, università, ricerca e Afam. Basta contratti peggiorativi, serve una svolta su sostegno, precariato e autonomia differenziata”. </w:t>
      </w:r>
    </w:p>
    <w:p w14:paraId="3D553B71" w14:textId="77777777" w:rsidR="00FA377C" w:rsidRPr="00FA377C" w:rsidRDefault="00FA377C" w:rsidP="00FA377C">
      <w:pPr>
        <w:rPr>
          <w:rFonts w:ascii="Calibri" w:hAnsi="Calibri" w:cs="Calibri"/>
        </w:rPr>
      </w:pPr>
    </w:p>
    <w:p w14:paraId="09D63233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 xml:space="preserve">“Scegliamo il futuro”. Con questo slogan la Federazione Uil Scuola Rua indice una manifestazione nazionale per il miglioramento del sistema educativo del paese. L’appuntamento è fissato per martedì 23 aprile al Teatro Italia di Roma alle ore 10,30. </w:t>
      </w:r>
    </w:p>
    <w:p w14:paraId="79508153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A spiegare le ragioni della protesta è il Segretario generale Giuseppe D’Aprile: vogliamo rilanciare le nostre rivendicazioni che portiamo avanti da tempo:</w:t>
      </w:r>
    </w:p>
    <w:p w14:paraId="207E5334" w14:textId="77777777" w:rsidR="00FA377C" w:rsidRPr="00FA377C" w:rsidRDefault="00FA377C" w:rsidP="00FA377C">
      <w:pPr>
        <w:rPr>
          <w:rFonts w:ascii="Calibri" w:hAnsi="Calibri" w:cs="Calibri"/>
        </w:rPr>
      </w:pPr>
    </w:p>
    <w:p w14:paraId="294AA3B8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- il lavoro del personale tutto va valorizzato attraverso contratti migliorativi rispetto ai precedenti;</w:t>
      </w:r>
    </w:p>
    <w:p w14:paraId="2F779BAB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- i precari, oltre 234 mila, vanno stabilizzati attraverso lo scorrimento di tutte le graduatorie concorsuali, comprensive degli idonei, e di supplenza di I e II fascia, anche sui posti al 30 giugno da convertire in 31 agosto;</w:t>
      </w:r>
    </w:p>
    <w:p w14:paraId="1A9BB016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- servono percorsi abilitanti rapidi ed economicamente sostenibili. i percorsi, al momento progettati, sono troppo costosi e tardivi;</w:t>
      </w:r>
    </w:p>
    <w:p w14:paraId="61BF01F9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- l’organico del personale Ata va potenziato. E’ necessario prorogare tutti i contratti PNRR fino al 30 giugno 2026;</w:t>
      </w:r>
    </w:p>
    <w:p w14:paraId="77BBA052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- sul sostegno vanno garantiti docenti specializzati a tutti gli alunni con disabilità. E’ inaccettabile un sistema sottoposto a vincoli e consensi dove le famiglie hanno la possibilità di scegliere o individuare gli insegnanti per i propri figli;</w:t>
      </w:r>
    </w:p>
    <w:p w14:paraId="74025515" w14:textId="77777777" w:rsidR="00FA377C" w:rsidRPr="00FA377C" w:rsidRDefault="00FA377C" w:rsidP="00FA377C">
      <w:pPr>
        <w:rPr>
          <w:rFonts w:ascii="Calibri" w:hAnsi="Calibri" w:cs="Calibri"/>
        </w:rPr>
      </w:pPr>
    </w:p>
    <w:p w14:paraId="18870B08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Non solo scuola, a mobilitarsi anche università, ricerca e Afam: basta finanziare il settore privato a discapito del pubblico – spiega il Segretario generale Uil Rua Attilio Bombardieri – è necessario investire in formazione e ricerca.</w:t>
      </w:r>
    </w:p>
    <w:p w14:paraId="0FBEE3E3" w14:textId="77777777" w:rsidR="00FA377C" w:rsidRPr="00FA377C" w:rsidRDefault="00FA377C" w:rsidP="00FA377C">
      <w:pPr>
        <w:rPr>
          <w:rFonts w:ascii="Calibri" w:hAnsi="Calibri" w:cs="Calibri"/>
        </w:rPr>
      </w:pPr>
    </w:p>
    <w:p w14:paraId="293934DD" w14:textId="77777777" w:rsidR="00FA377C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 xml:space="preserve">Inoltre – prosegue Attilio Bombardieri - continuiamo ad opporci ad ogni ipotesi di regionalizzazione ed è fondamentale garantire il diritto allo studio alle nuove generazioni, oggi in grandi difficoltà economiche e sociali. </w:t>
      </w:r>
    </w:p>
    <w:p w14:paraId="12ADBB02" w14:textId="77777777" w:rsidR="00FA377C" w:rsidRPr="00FA377C" w:rsidRDefault="00FA377C" w:rsidP="00FA377C">
      <w:pPr>
        <w:rPr>
          <w:rFonts w:ascii="Calibri" w:hAnsi="Calibri" w:cs="Calibri"/>
        </w:rPr>
      </w:pPr>
    </w:p>
    <w:p w14:paraId="47C8A15C" w14:textId="2DEC0276" w:rsidR="00C76BE1" w:rsidRPr="00FA377C" w:rsidRDefault="00FA377C" w:rsidP="00FA377C">
      <w:pPr>
        <w:rPr>
          <w:rFonts w:ascii="Calibri" w:hAnsi="Calibri" w:cs="Calibri"/>
        </w:rPr>
      </w:pPr>
      <w:r w:rsidRPr="00FA377C">
        <w:rPr>
          <w:rFonts w:ascii="Calibri" w:hAnsi="Calibri" w:cs="Calibri"/>
        </w:rPr>
        <w:t>Il nostro invito è aperto a tutti – conclude D’Aprile - personale della scuola, università, ricerca, Afam, studenti, genitori e chiunque abbia a cuore le sorti di uno dei capisaldi più importanti del Paese.</w:t>
      </w:r>
      <w:r w:rsidR="00190A7E" w:rsidRPr="00FA377C">
        <w:rPr>
          <w:rFonts w:ascii="Calibri" w:hAnsi="Calibri" w:cs="Calibri"/>
        </w:rPr>
        <w:t xml:space="preserve"> </w:t>
      </w:r>
    </w:p>
    <w:sectPr w:rsidR="00C76BE1" w:rsidRPr="00FA3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7E"/>
    <w:rsid w:val="0009024D"/>
    <w:rsid w:val="00190A7E"/>
    <w:rsid w:val="004B43A8"/>
    <w:rsid w:val="007004AA"/>
    <w:rsid w:val="007B129B"/>
    <w:rsid w:val="0089302D"/>
    <w:rsid w:val="00AA2A40"/>
    <w:rsid w:val="00C76BE1"/>
    <w:rsid w:val="00DB799F"/>
    <w:rsid w:val="00EF409F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B6D9"/>
  <w15:chartTrackingRefBased/>
  <w15:docId w15:val="{50EBE589-CAE2-4DA3-8CE5-C7B31362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ucida Sans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99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90A7E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A7E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0A7E"/>
    <w:pPr>
      <w:keepNext/>
      <w:keepLines/>
      <w:spacing w:before="160" w:after="80"/>
      <w:outlineLvl w:val="2"/>
    </w:pPr>
    <w:rPr>
      <w:rFonts w:asciiTheme="minorHAnsi" w:eastAsiaTheme="majorEastAsia" w:hAnsiTheme="minorHAnsi" w:cs="Mangal"/>
      <w:color w:val="0F4761" w:themeColor="accent1" w:themeShade="BF"/>
      <w:sz w:val="28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0A7E"/>
    <w:pPr>
      <w:keepNext/>
      <w:keepLines/>
      <w:spacing w:before="80" w:after="40"/>
      <w:outlineLvl w:val="3"/>
    </w:pPr>
    <w:rPr>
      <w:rFonts w:asciiTheme="minorHAnsi" w:eastAsiaTheme="majorEastAsia" w:hAnsiTheme="minorHAnsi" w:cs="Mangal"/>
      <w:i/>
      <w:iCs/>
      <w:color w:val="0F4761" w:themeColor="accent1" w:themeShade="BF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0A7E"/>
    <w:pPr>
      <w:keepNext/>
      <w:keepLines/>
      <w:spacing w:before="80" w:after="40"/>
      <w:outlineLvl w:val="4"/>
    </w:pPr>
    <w:rPr>
      <w:rFonts w:asciiTheme="minorHAnsi" w:eastAsiaTheme="majorEastAsia" w:hAnsiTheme="minorHAnsi" w:cs="Mangal"/>
      <w:color w:val="0F4761" w:themeColor="accent1" w:themeShade="BF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0A7E"/>
    <w:pPr>
      <w:keepNext/>
      <w:keepLines/>
      <w:spacing w:before="40"/>
      <w:outlineLvl w:val="5"/>
    </w:pPr>
    <w:rPr>
      <w:rFonts w:asciiTheme="minorHAnsi" w:eastAsiaTheme="majorEastAsia" w:hAnsiTheme="minorHAnsi" w:cs="Mangal"/>
      <w:i/>
      <w:iCs/>
      <w:color w:val="595959" w:themeColor="text1" w:themeTint="A6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0A7E"/>
    <w:pPr>
      <w:keepNext/>
      <w:keepLines/>
      <w:spacing w:before="40"/>
      <w:outlineLvl w:val="6"/>
    </w:pPr>
    <w:rPr>
      <w:rFonts w:asciiTheme="minorHAnsi" w:eastAsiaTheme="majorEastAsia" w:hAnsiTheme="minorHAnsi" w:cs="Mangal"/>
      <w:color w:val="595959" w:themeColor="text1" w:themeTint="A6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0A7E"/>
    <w:pPr>
      <w:keepNext/>
      <w:keepLines/>
      <w:outlineLvl w:val="7"/>
    </w:pPr>
    <w:rPr>
      <w:rFonts w:asciiTheme="minorHAnsi" w:eastAsiaTheme="majorEastAsia" w:hAnsiTheme="minorHAnsi" w:cs="Mangal"/>
      <w:i/>
      <w:iCs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0A7E"/>
    <w:pPr>
      <w:keepNext/>
      <w:keepLines/>
      <w:outlineLvl w:val="8"/>
    </w:pPr>
    <w:rPr>
      <w:rFonts w:asciiTheme="minorHAnsi" w:eastAsiaTheme="majorEastAsia" w:hAnsiTheme="minorHAnsi" w:cs="Mangal"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0A7E"/>
    <w:rPr>
      <w:rFonts w:asciiTheme="majorHAnsi" w:eastAsiaTheme="majorEastAsia" w:hAnsiTheme="majorHAnsi" w:cs="Mangal"/>
      <w:color w:val="0F4761" w:themeColor="accent1" w:themeShade="BF"/>
      <w:kern w:val="3"/>
      <w:sz w:val="40"/>
      <w:szCs w:val="36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A7E"/>
    <w:rPr>
      <w:rFonts w:asciiTheme="majorHAnsi" w:eastAsiaTheme="majorEastAsia" w:hAnsiTheme="majorHAnsi" w:cs="Mangal"/>
      <w:color w:val="0F4761" w:themeColor="accent1" w:themeShade="BF"/>
      <w:kern w:val="3"/>
      <w:sz w:val="32"/>
      <w:szCs w:val="29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0A7E"/>
    <w:rPr>
      <w:rFonts w:asciiTheme="minorHAnsi" w:eastAsiaTheme="majorEastAsia" w:hAnsiTheme="minorHAnsi" w:cs="Mangal"/>
      <w:color w:val="0F4761" w:themeColor="accent1" w:themeShade="BF"/>
      <w:kern w:val="3"/>
      <w:sz w:val="28"/>
      <w:szCs w:val="25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0A7E"/>
    <w:rPr>
      <w:rFonts w:asciiTheme="minorHAnsi" w:eastAsiaTheme="majorEastAsia" w:hAnsiTheme="minorHAnsi" w:cs="Mangal"/>
      <w:i/>
      <w:iCs/>
      <w:color w:val="0F4761" w:themeColor="accent1" w:themeShade="BF"/>
      <w:kern w:val="3"/>
      <w:sz w:val="24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0A7E"/>
    <w:rPr>
      <w:rFonts w:asciiTheme="minorHAnsi" w:eastAsiaTheme="majorEastAsia" w:hAnsiTheme="minorHAnsi" w:cs="Mangal"/>
      <w:color w:val="0F4761" w:themeColor="accent1" w:themeShade="BF"/>
      <w:kern w:val="3"/>
      <w:sz w:val="24"/>
      <w:szCs w:val="21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0A7E"/>
    <w:rPr>
      <w:rFonts w:asciiTheme="minorHAnsi" w:eastAsiaTheme="majorEastAsia" w:hAnsiTheme="minorHAnsi" w:cs="Mangal"/>
      <w:i/>
      <w:iCs/>
      <w:color w:val="595959" w:themeColor="text1" w:themeTint="A6"/>
      <w:kern w:val="3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0A7E"/>
    <w:rPr>
      <w:rFonts w:asciiTheme="minorHAnsi" w:eastAsiaTheme="majorEastAsia" w:hAnsiTheme="minorHAnsi" w:cs="Mangal"/>
      <w:color w:val="595959" w:themeColor="text1" w:themeTint="A6"/>
      <w:kern w:val="3"/>
      <w:sz w:val="24"/>
      <w:szCs w:val="21"/>
      <w:lang w:eastAsia="zh-CN" w:bidi="hi-I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0A7E"/>
    <w:rPr>
      <w:rFonts w:asciiTheme="minorHAnsi" w:eastAsiaTheme="majorEastAsia" w:hAnsiTheme="minorHAnsi" w:cs="Mangal"/>
      <w:i/>
      <w:iCs/>
      <w:color w:val="272727" w:themeColor="text1" w:themeTint="D8"/>
      <w:kern w:val="3"/>
      <w:sz w:val="24"/>
      <w:szCs w:val="21"/>
      <w:lang w:eastAsia="zh-CN" w:bidi="hi-I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0A7E"/>
    <w:rPr>
      <w:rFonts w:asciiTheme="minorHAnsi" w:eastAsiaTheme="majorEastAsia" w:hAnsiTheme="minorHAnsi" w:cs="Mangal"/>
      <w:color w:val="272727" w:themeColor="text1" w:themeTint="D8"/>
      <w:kern w:val="3"/>
      <w:sz w:val="24"/>
      <w:szCs w:val="21"/>
      <w:lang w:eastAsia="zh-CN" w:bidi="hi-IN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0A7E"/>
    <w:pPr>
      <w:spacing w:after="8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190A7E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0A7E"/>
    <w:pPr>
      <w:numPr>
        <w:ilvl w:val="1"/>
      </w:numPr>
      <w:spacing w:after="160"/>
    </w:pPr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0A7E"/>
    <w:rPr>
      <w:rFonts w:asciiTheme="minorHAnsi" w:eastAsiaTheme="majorEastAsia" w:hAnsiTheme="minorHAnsi" w:cs="Mangal"/>
      <w:color w:val="595959" w:themeColor="text1" w:themeTint="A6"/>
      <w:spacing w:val="15"/>
      <w:kern w:val="3"/>
      <w:sz w:val="28"/>
      <w:szCs w:val="25"/>
      <w:lang w:eastAsia="zh-CN" w:bidi="hi-I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A7E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0A7E"/>
    <w:rPr>
      <w:rFonts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190A7E"/>
    <w:pPr>
      <w:ind w:left="720"/>
      <w:contextualSpacing/>
    </w:pPr>
    <w:rPr>
      <w:rFonts w:cs="Mangal"/>
      <w:szCs w:val="21"/>
    </w:rPr>
  </w:style>
  <w:style w:type="character" w:styleId="Enfasiintensa">
    <w:name w:val="Intense Emphasis"/>
    <w:basedOn w:val="Carpredefinitoparagrafo"/>
    <w:uiPriority w:val="21"/>
    <w:qFormat/>
    <w:rsid w:val="00190A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0A7E"/>
    <w:rPr>
      <w:rFonts w:cs="Mangal"/>
      <w:i/>
      <w:iCs/>
      <w:color w:val="0F4761" w:themeColor="accent1" w:themeShade="BF"/>
      <w:kern w:val="3"/>
      <w:sz w:val="24"/>
      <w:szCs w:val="21"/>
      <w:lang w:eastAsia="zh-CN" w:bidi="hi-IN"/>
    </w:rPr>
  </w:style>
  <w:style w:type="character" w:styleId="Riferimentointenso">
    <w:name w:val="Intense Reference"/>
    <w:basedOn w:val="Carpredefinitoparagrafo"/>
    <w:uiPriority w:val="32"/>
    <w:qFormat/>
    <w:rsid w:val="00190A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Riggio</dc:creator>
  <cp:keywords/>
  <dc:description/>
  <cp:lastModifiedBy>Paolo Riggio</cp:lastModifiedBy>
  <cp:revision>1</cp:revision>
  <dcterms:created xsi:type="dcterms:W3CDTF">2024-04-08T11:19:00Z</dcterms:created>
  <dcterms:modified xsi:type="dcterms:W3CDTF">2024-04-08T16:40:00Z</dcterms:modified>
</cp:coreProperties>
</file>